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0" w:lineRule="auto"/>
        <w:jc w:val="left"/>
        <w:rPr>
          <w:b w:val="1"/>
          <w:smallCaps w:val="1"/>
        </w:rPr>
      </w:pPr>
      <w:bookmarkStart w:colFirst="0" w:colLast="0" w:name="_heading=h.4d34og8" w:id="1"/>
      <w:bookmarkEnd w:id="1"/>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2"/>
      <w:bookmarkEnd w:id="2"/>
      <w:r w:rsidDel="00000000" w:rsidR="00000000" w:rsidRPr="00000000">
        <w:rPr>
          <w:b w:val="1"/>
          <w:smallCaps w:val="1"/>
          <w:color w:val="000000"/>
          <w:rtl w:val="0"/>
        </w:rPr>
        <w:t xml:space="preserve">CALL-OFF SCHEDULE 6 </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3"/>
            <w:bookmarkEnd w:id="3"/>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c)    in respect of LGPS Eligible Employees, the standard employer contribution rate applicable to LGPS Eligible Employees during the Contract Period and payable by the Supplier such sums</w:t>
            </w:r>
            <w:r w:rsidDel="00000000" w:rsidR="00000000" w:rsidRPr="00000000">
              <w:rPr>
                <w:color w:val="1f497d"/>
                <w:sz w:val="20"/>
                <w:szCs w:val="20"/>
                <w:rtl w:val="0"/>
              </w:rPr>
              <w:t xml:space="preserve"> expressed </w:t>
            </w:r>
            <w:r w:rsidDel="00000000" w:rsidR="00000000" w:rsidRPr="00000000">
              <w:rPr>
                <w:color w:val="000000"/>
                <w:sz w:val="20"/>
                <w:szCs w:val="20"/>
                <w:rtl w:val="0"/>
              </w:rPr>
              <w:t xml:space="preserve">and set out </w:t>
            </w:r>
            <w:r w:rsidDel="00000000" w:rsidR="00000000" w:rsidRPr="00000000">
              <w:rPr>
                <w:color w:val="1f497d"/>
                <w:sz w:val="20"/>
                <w:szCs w:val="20"/>
                <w:rtl w:val="0"/>
              </w:rPr>
              <w:t xml:space="preserve">in the rates and adjustments certificate</w:t>
            </w:r>
            <w:r w:rsidDel="00000000" w:rsidR="00000000" w:rsidRPr="00000000">
              <w:rPr>
                <w:color w:val="000000"/>
                <w:sz w:val="20"/>
                <w:szCs w:val="20"/>
                <w:rtl w:val="0"/>
              </w:rPr>
              <w:t xml:space="preserve"> under regulation 62 of the LGPS Regulations (but no other costs, contributions, charges or surcharges payable by the Supplier to or in respect of the LGPS unless otherwise agreed in writing by the Authority) </w:t>
            </w:r>
            <w:r w:rsidDel="00000000" w:rsidR="00000000" w:rsidRPr="00000000">
              <w:rPr>
                <w:color w:val="1f497d"/>
                <w:sz w:val="20"/>
                <w:szCs w:val="20"/>
                <w:rtl w:val="0"/>
              </w:rPr>
              <w:t xml:space="preserve">less any </w:t>
            </w:r>
            <w:r w:rsidDel="00000000" w:rsidR="00000000" w:rsidRPr="00000000">
              <w:rPr>
                <w:color w:val="000000"/>
                <w:sz w:val="20"/>
                <w:szCs w:val="20"/>
                <w:rtl w:val="0"/>
              </w:rPr>
              <w:t xml:space="preserve">costs recoverable under paragraph 6 of Annex D3: LGPS of Part D Pensions of Schedule 2 Staff Transfer</w:t>
            </w:r>
            <w:r w:rsidDel="00000000" w:rsidR="00000000" w:rsidRPr="00000000">
              <w:rPr>
                <w:color w:val="1f497d"/>
                <w:sz w:val="20"/>
                <w:szCs w:val="20"/>
                <w:rtl w:val="0"/>
              </w:rPr>
              <w:t xml:space="preserve">;</w:t>
            </w:r>
            <w:r w:rsidDel="00000000" w:rsidR="00000000" w:rsidRPr="00000000">
              <w:rPr>
                <w:color w:val="000000"/>
                <w:sz w:val="20"/>
                <w:szCs w:val="20"/>
                <w:rtl w:val="0"/>
              </w:rPr>
              <w:t xml:space="preserve"> and </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3">
            <w:pPr>
              <w:tabs>
                <w:tab w:val="left" w:leader="none" w:pos="175"/>
                <w:tab w:val="left" w:leader="none" w:pos="-9"/>
              </w:tabs>
              <w:spacing w:after="120" w:lineRule="auto"/>
              <w:jc w:val="left"/>
              <w:rPr>
                <w:sz w:val="20"/>
                <w:szCs w:val="20"/>
              </w:rPr>
            </w:pPr>
            <w:r w:rsidDel="00000000" w:rsidR="00000000" w:rsidRPr="00000000">
              <w:rPr>
                <w:sz w:val="20"/>
                <w:szCs w:val="20"/>
                <w:rtl w:val="0"/>
              </w:rPr>
              <w:t xml:space="preserve">means the total number of:</w:t>
            </w:r>
          </w:p>
          <w:p w:rsidR="00000000" w:rsidDel="00000000" w:rsidP="00000000" w:rsidRDefault="00000000" w:rsidRPr="00000000" w14:paraId="00000044">
            <w:pPr>
              <w:numPr>
                <w:ilvl w:val="0"/>
                <w:numId w:val="3"/>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Transferring Former Supplier Employees;</w:t>
            </w:r>
          </w:p>
          <w:p w:rsidR="00000000" w:rsidDel="00000000" w:rsidP="00000000" w:rsidRDefault="00000000" w:rsidRPr="00000000" w14:paraId="00000045">
            <w:pPr>
              <w:numPr>
                <w:ilvl w:val="0"/>
                <w:numId w:val="3"/>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where the Former Supplier becomes the Supplier the Former Supplier employees providing the Services at the Commencement Date; and/or </w:t>
            </w:r>
          </w:p>
          <w:p w:rsidR="00000000" w:rsidDel="00000000" w:rsidP="00000000" w:rsidRDefault="00000000" w:rsidRPr="00000000" w14:paraId="00000046">
            <w:pPr>
              <w:numPr>
                <w:ilvl w:val="0"/>
                <w:numId w:val="3"/>
              </w:numPr>
              <w:tabs>
                <w:tab w:val="left" w:leader="none" w:pos="175"/>
                <w:tab w:val="left" w:leader="none" w:pos="-9"/>
              </w:tabs>
              <w:spacing w:after="120" w:lineRule="auto"/>
              <w:ind w:left="720" w:hanging="360"/>
              <w:jc w:val="left"/>
              <w:rPr>
                <w:sz w:val="20"/>
                <w:szCs w:val="20"/>
              </w:rPr>
            </w:pPr>
            <w:r w:rsidDel="00000000" w:rsidR="00000000" w:rsidRPr="00000000">
              <w:rPr>
                <w:sz w:val="20"/>
                <w:szCs w:val="20"/>
                <w:rtl w:val="0"/>
              </w:rPr>
              <w:t xml:space="preserve">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7">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D">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4"/>
      <w:bookmarkEnd w:id="4"/>
      <w:r w:rsidDel="00000000" w:rsidR="00000000" w:rsidRPr="00000000">
        <w:rPr>
          <w:b w:val="1"/>
          <w:color w:val="000000"/>
          <w:rtl w:val="0"/>
        </w:rPr>
        <w:t xml:space="preserve">OPTION 1 – DIRECT AWARD – TUPE RISK PREMIUM</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5"/>
      <w:bookmarkEnd w:id="5"/>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6"/>
      <w:bookmarkEnd w:id="6"/>
      <w:r w:rsidDel="00000000" w:rsidR="00000000" w:rsidRPr="00000000">
        <w:rPr>
          <w:color w:val="000000"/>
          <w:rtl w:val="0"/>
        </w:rPr>
        <w:t xml:space="preserve">Within 20 Working Days after the Relevant Transfer Date, t</w:t>
      </w:r>
      <w:r w:rsidDel="00000000" w:rsidR="00000000" w:rsidRPr="00000000">
        <w:rPr>
          <w:rtl w:val="0"/>
        </w:rPr>
        <w:t xml:space="preserve">     </w:t>
      </w:r>
      <w:r w:rsidDel="00000000" w:rsidR="00000000" w:rsidRPr="00000000">
        <w:rPr>
          <w:color w:val="000000"/>
          <w:rtl w:val="0"/>
        </w:rPr>
        <w:t xml:space="preserve">he Supplier may request a Further Competition TUPE Risk Premium adjustment, and the Buyer may grant the request, if:</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F">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60">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w:t>
      </w:r>
      <w:r w:rsidDel="00000000" w:rsidR="00000000" w:rsidRPr="00000000">
        <w:rPr>
          <w:rtl w:val="0"/>
        </w:rPr>
        <w:t xml:space="preserve">     </w:t>
      </w:r>
      <w:r w:rsidDel="00000000" w:rsidR="00000000" w:rsidRPr="00000000">
        <w:rPr>
          <w:color w:val="000000"/>
          <w:rtl w:val="0"/>
        </w:rPr>
        <w:t xml:space="preserve"> the </w:t>
      </w:r>
      <w:r w:rsidDel="00000000" w:rsidR="00000000" w:rsidRPr="00000000">
        <w:rPr>
          <w:rtl w:val="0"/>
        </w:rPr>
        <w:t xml:space="preserve">     </w:t>
      </w:r>
      <w:r w:rsidDel="00000000" w:rsidR="00000000" w:rsidRPr="00000000">
        <w:rPr>
          <w:color w:val="000000"/>
          <w:rtl w:val="0"/>
        </w:rPr>
        <w:t xml:space="preserve">Further Competition TUPE Risk Premium,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7"/>
      <w:bookmarkEnd w:id="7"/>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8"/>
      <w:bookmarkEnd w:id="8"/>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3">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7">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8">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9">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A">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90">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4">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8">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spacing w:after="0" w:line="276" w:lineRule="auto"/>
      <w:jc w:val="left"/>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114300" distT="114300" distL="114300" distR="114300" hidden="0" layoutInCell="1" locked="0" relativeHeight="0" simplePos="0">
          <wp:simplePos x="0" y="0"/>
          <wp:positionH relativeFrom="column">
            <wp:posOffset>5591175</wp:posOffset>
          </wp:positionH>
          <wp:positionV relativeFrom="paragraph">
            <wp:posOffset>-335279</wp:posOffset>
          </wp:positionV>
          <wp:extent cx="1004888" cy="837406"/>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9A">
    <w:pPr>
      <w:tabs>
        <w:tab w:val="center" w:leader="none" w:pos="4513"/>
        <w:tab w:val="right" w:leader="none" w:pos="9026"/>
      </w:tabs>
      <w:spacing w:after="0" w:lineRule="auto"/>
      <w:jc w:val="left"/>
      <w:rPr/>
    </w:pPr>
    <w:r w:rsidDel="00000000" w:rsidR="00000000" w:rsidRPr="00000000">
      <w:rPr>
        <w:b w:val="1"/>
        <w:rtl w:val="0"/>
      </w:rPr>
      <w:t xml:space="preserve">Call-Off Schedule 6 (TUPE Surcharge)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2">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jsumPwbjaPBxJu4rKGaSmVMX7Q==">CgMxLjAyCGguZ2pkZ3hzMgloLjRkMzRvZzgyCWguMzBqMHpsbDIJaC4xZm9iOXRlMgloLjN6bnlzaDcyCWguMmV0OTJwMDIIaC50eWpjd3QyCWguM2R5NnZrbTIJaC4xdDNoNXNmOAByITFMY3ZYZWpRVE1IdDRFN1FIVnhHQVRFZGUydE9tODZtbA==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2022-09-23T00:01:00Z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